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0E1" w14:textId="7760AEDB" w:rsidR="000A6D2A" w:rsidRDefault="001D2C06" w:rsidP="000A6D2A">
      <w:pPr>
        <w:shd w:val="clear" w:color="auto" w:fill="FFFFFF"/>
        <w:rPr>
          <w:rFonts w:ascii="Times New Roman" w:hAnsi="Times New Roman" w:cs="Times New Roman"/>
          <w:b/>
          <w:bCs/>
          <w:color w:val="2D2D2D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2D2D2D"/>
          <w:sz w:val="36"/>
          <w:szCs w:val="36"/>
        </w:rPr>
        <w:t xml:space="preserve">Chief </w:t>
      </w:r>
      <w:r w:rsidR="000A6D2A">
        <w:rPr>
          <w:rFonts w:ascii="Times New Roman" w:hAnsi="Times New Roman" w:cs="Times New Roman"/>
          <w:b/>
          <w:bCs/>
          <w:color w:val="2D2D2D"/>
          <w:sz w:val="36"/>
          <w:szCs w:val="36"/>
        </w:rPr>
        <w:t xml:space="preserve">Assistant Prosecuting Attorney </w:t>
      </w:r>
    </w:p>
    <w:p w14:paraId="429FCF0B" w14:textId="09070B2F" w:rsidR="00F10F80" w:rsidRDefault="00F10F80" w:rsidP="00F10F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Starting pay: $</w:t>
      </w:r>
      <w:r w:rsidR="00242270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$</w:t>
      </w:r>
      <w:r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97,240.67</w:t>
      </w:r>
      <w:r w:rsidR="00242270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 </w:t>
      </w:r>
    </w:p>
    <w:p w14:paraId="07D6BE4E" w14:textId="77777777" w:rsidR="00F10F80" w:rsidRDefault="00F10F80" w:rsidP="00F10F8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2D2D2D"/>
          <w:sz w:val="36"/>
          <w:szCs w:val="36"/>
        </w:rPr>
      </w:pPr>
      <w:r w:rsidRPr="00A23A35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Retirement plan: Mason County participates in Michigan Municipal Employees Retirement System (MERS); 100% employer funded retirement; vesting at 10 years</w:t>
      </w:r>
    </w:p>
    <w:p w14:paraId="0710B56E" w14:textId="2802CD0D" w:rsidR="004D271A" w:rsidRDefault="004D271A" w:rsidP="00934687">
      <w:pPr>
        <w:jc w:val="both"/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Come work in beautiful Ludington, Michigan. The Prosecuting Attorney’s office is located in</w:t>
      </w:r>
      <w:r w:rsidR="005E7532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side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the historic courthouse on Ludington Avenue just blocks away from Lake Michigan. This position offers the opportunity to </w:t>
      </w:r>
      <w:r w:rsidR="00276F28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appear</w:t>
      </w:r>
      <w:r w:rsidR="00AA5AA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in court on a regular basis on a wide variety of criminal matters. </w:t>
      </w:r>
    </w:p>
    <w:p w14:paraId="35993F90" w14:textId="77777777" w:rsidR="004D271A" w:rsidRDefault="004D271A" w:rsidP="00934687">
      <w:pPr>
        <w:jc w:val="both"/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5545EA9C" w14:textId="5AB287EB" w:rsidR="000A6D2A" w:rsidRDefault="001D2C06" w:rsidP="00934687">
      <w:pPr>
        <w:jc w:val="both"/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The Chief Assistant Prosecuting Attorney, in addition to the below listed duties, assists the Prosecuting Attorney in supervising and mentoring the assistant prosecuting attorney</w:t>
      </w:r>
      <w:r w:rsidR="00AA5AA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 managing sup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port staff</w:t>
      </w:r>
      <w:r w:rsidR="00AA5AA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 and is responsible for maintaining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the day</w:t>
      </w:r>
      <w:r w:rsidR="007E5CC4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to-day operations of the office in the absence of the Prosecuting Attorney.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Under the direction of the Prosecuting Attorney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review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investigations presented by law enforcement to determine appropriate charges, i</w:t>
      </w:r>
      <w:r w:rsidR="00B01652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f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any, and file</w:t>
      </w:r>
      <w:r w:rsidR="00B01652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complaints for warrant authorization.  As an assistant prosecutor you will present criminal cases in the District and Circuit Court, as well as handle matters in the Juvenile Court. The position 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may also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require appearances </w:t>
      </w:r>
      <w:r w:rsidR="00AA5AA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on</w:t>
      </w:r>
      <w:r w:rsidR="00E95045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Probate Court matters. 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Prosecutors are responsible for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preparing 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a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nd responding to criminal pleadings, conducting preliminary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evidentiary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and mental health hearings. You will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represent the People of the State of Michigan in pretrial matters, </w:t>
      </w:r>
      <w:proofErr w:type="gramStart"/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pleas</w:t>
      </w:r>
      <w:proofErr w:type="gramEnd"/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,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trials</w:t>
      </w:r>
      <w:r w:rsidR="00E95045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sentencing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and some appeals.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Trial preparation and plea negotiations will require consultation with the victims of crimes, witnesses to the charge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d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offense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</w:t>
      </w:r>
      <w:r w:rsidR="00B01652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</w:t>
      </w:r>
      <w:r w:rsidR="00934687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and members of law enforcement. </w:t>
      </w:r>
      <w:r w:rsidR="000A6D2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This list is not inclusive of the total scope of the job functions to be performed. Duties may be added, deleted, or modified at any time by the Prosecuting Attorney.</w:t>
      </w:r>
    </w:p>
    <w:p w14:paraId="02CD5F79" w14:textId="77777777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76463876" w14:textId="70DE536A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Qualifications: Law degree from an accredited law school, some criminal law</w:t>
      </w:r>
      <w:r w:rsidR="00727FA6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experience preferred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but not required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 licensed and in good standing to practice law in the State of Michigan</w:t>
      </w:r>
      <w:r w:rsidR="00F4635E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for a minimum of two years</w:t>
      </w:r>
      <w:r w:rsidR="00727FA6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and have trial experience.</w:t>
      </w:r>
    </w:p>
    <w:p w14:paraId="167B294B" w14:textId="77777777" w:rsidR="00EB05E0" w:rsidRDefault="00EB05E0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7F8970A1" w14:textId="67EAC783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Working Conditions: Full</w:t>
      </w:r>
      <w:r w:rsidR="00EB05E0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time and in</w:t>
      </w:r>
      <w:r w:rsidR="00EB05E0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-person; 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Mason County is an equal opportunity employer and does not discriminate </w:t>
      </w:r>
      <w:r w:rsidR="007B6254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based on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race, color, national origin, sex, disability or age.</w:t>
      </w:r>
    </w:p>
    <w:p w14:paraId="2D960842" w14:textId="77777777" w:rsidR="00210E19" w:rsidRDefault="00210E19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25F9DCAB" w14:textId="24F1D6DB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Please submit resume, cover letter, and at least three references with contact information to 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Beth M. Hand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, Mason County Prosecuting Attorney at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prosecutor@masoncounty.net</w:t>
        </w:r>
      </w:hyperlink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or mail to 304 E. Ludington Avenue, Ludington, MI 49431.</w:t>
      </w:r>
    </w:p>
    <w:p w14:paraId="7465343B" w14:textId="77777777" w:rsidR="00210E19" w:rsidRDefault="00210E19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7D935B18" w14:textId="77777777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Job Type: Full-time</w:t>
      </w:r>
    </w:p>
    <w:p w14:paraId="191A92CB" w14:textId="166A5E5A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Pay: </w:t>
      </w:r>
      <w:r w:rsidR="00E95045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starting at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</w:t>
      </w:r>
      <w:r w:rsidR="00BB574C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$</w:t>
      </w:r>
      <w:r w:rsidR="00F4635E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97</w:t>
      </w:r>
      <w:r w:rsidR="00C65D72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,</w:t>
      </w:r>
      <w:r w:rsidR="00F4635E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240.67 </w:t>
      </w: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per year</w:t>
      </w:r>
      <w:r w:rsidR="00210E19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;</w:t>
      </w:r>
      <w:r w:rsidR="004D271A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annual increases</w:t>
      </w:r>
    </w:p>
    <w:p w14:paraId="032E76F0" w14:textId="77777777" w:rsidR="00210E19" w:rsidRDefault="00210E19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</w:p>
    <w:p w14:paraId="2B7E3EF4" w14:textId="103784D3" w:rsidR="000A6D2A" w:rsidRPr="00CB709D" w:rsidRDefault="00CB709D" w:rsidP="000A6D2A">
      <w:pPr>
        <w:rPr>
          <w:rFonts w:ascii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</w:pPr>
      <w:r w:rsidRPr="00CB709D">
        <w:rPr>
          <w:rFonts w:ascii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Generous </w:t>
      </w:r>
      <w:r w:rsidR="000A6D2A" w:rsidRPr="00CB709D">
        <w:rPr>
          <w:rFonts w:ascii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Benefit</w:t>
      </w:r>
      <w:r w:rsidRPr="00CB709D">
        <w:rPr>
          <w:rFonts w:ascii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 Package:</w:t>
      </w:r>
    </w:p>
    <w:p w14:paraId="2541DBE0" w14:textId="77777777" w:rsidR="000A6D2A" w:rsidRDefault="000A6D2A" w:rsidP="000A6D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Health insurance</w:t>
      </w:r>
    </w:p>
    <w:p w14:paraId="6A9CF3EB" w14:textId="77777777" w:rsidR="000A6D2A" w:rsidRDefault="000A6D2A" w:rsidP="000A6D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Health savings account</w:t>
      </w:r>
    </w:p>
    <w:p w14:paraId="22466C85" w14:textId="77777777" w:rsidR="000A6D2A" w:rsidRDefault="000A6D2A" w:rsidP="000A6D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Life insurance</w:t>
      </w:r>
    </w:p>
    <w:p w14:paraId="5FC15243" w14:textId="7A71732B" w:rsidR="004D271A" w:rsidRPr="00AA5AA9" w:rsidRDefault="000A6D2A" w:rsidP="00AF03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</w:pPr>
      <w:r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lastRenderedPageBreak/>
        <w:t>Retirement plan</w:t>
      </w:r>
      <w:r w:rsidR="00E95045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:</w:t>
      </w:r>
      <w:r w:rsidR="00210E19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 Mason County participates in M</w:t>
      </w:r>
      <w:r w:rsidR="00E95045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ichigan Municipal Employees Retirement System (M</w:t>
      </w:r>
      <w:r w:rsidR="00210E19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ERS</w:t>
      </w:r>
      <w:r w:rsidR="00E95045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>)</w:t>
      </w:r>
      <w:r w:rsidR="00FB4ACF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; </w:t>
      </w:r>
      <w:r w:rsidR="004D271A" w:rsidRPr="00AA5AA9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shd w:val="clear" w:color="auto" w:fill="FFFFFF"/>
        </w:rPr>
        <w:t xml:space="preserve">100% employer funded retirement; vesting at 10 years </w:t>
      </w:r>
    </w:p>
    <w:p w14:paraId="4903C5A4" w14:textId="15EE4D37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Schedule:</w:t>
      </w:r>
    </w:p>
    <w:p w14:paraId="11D3EBD0" w14:textId="50743531" w:rsidR="000A6D2A" w:rsidRDefault="00210E19" w:rsidP="000A6D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Monday-Friday</w:t>
      </w:r>
    </w:p>
    <w:p w14:paraId="73CC1BFA" w14:textId="5DE17532" w:rsidR="00E95045" w:rsidRDefault="00E95045" w:rsidP="000A6D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On-call rotation requires some </w:t>
      </w:r>
      <w:r w:rsidR="00AA5AA9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limited </w:t>
      </w:r>
      <w:r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weekend responsibilities</w:t>
      </w:r>
    </w:p>
    <w:p w14:paraId="0A0A5040" w14:textId="77777777" w:rsidR="000A6D2A" w:rsidRDefault="000A6D2A" w:rsidP="000A6D2A">
      <w:pP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Ability to Relocate:</w:t>
      </w:r>
    </w:p>
    <w:p w14:paraId="1F6C7B67" w14:textId="77777777" w:rsidR="00E95045" w:rsidRPr="00E95045" w:rsidRDefault="000A6D2A" w:rsidP="0046462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</w:pPr>
      <w:r w:rsidRPr="00E95045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Ludington, MI 49431: Relocat</w:t>
      </w:r>
      <w:r w:rsidR="00E95045" w:rsidRPr="00E95045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ion required prior to </w:t>
      </w:r>
      <w:proofErr w:type="gramStart"/>
      <w:r w:rsidR="00E95045" w:rsidRPr="00E95045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>start</w:t>
      </w:r>
      <w:proofErr w:type="gramEnd"/>
      <w:r w:rsidR="00E95045" w:rsidRPr="00E95045">
        <w:rPr>
          <w:rFonts w:ascii="Times New Roman" w:eastAsia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 date</w:t>
      </w:r>
    </w:p>
    <w:p w14:paraId="15C477B7" w14:textId="30BD2BA3" w:rsidR="00B559B7" w:rsidRDefault="000A6D2A" w:rsidP="00E95655">
      <w:pPr>
        <w:numPr>
          <w:ilvl w:val="0"/>
          <w:numId w:val="3"/>
        </w:numPr>
        <w:spacing w:before="100" w:beforeAutospacing="1" w:after="100" w:afterAutospacing="1"/>
      </w:pPr>
      <w:r w:rsidRPr="00E95045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 xml:space="preserve">Work Location: </w:t>
      </w:r>
      <w:r w:rsidR="00210E19" w:rsidRPr="00E95045">
        <w:rPr>
          <w:rFonts w:ascii="Times New Roman" w:hAnsi="Times New Roman" w:cs="Times New Roman"/>
          <w:color w:val="595959"/>
          <w:sz w:val="24"/>
          <w:szCs w:val="24"/>
          <w:shd w:val="clear" w:color="auto" w:fill="FFFFFF"/>
        </w:rPr>
        <w:t>304 E. Ludington Ave., Ludington, MI 49431</w:t>
      </w:r>
    </w:p>
    <w:sectPr w:rsidR="00B55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30B2"/>
    <w:multiLevelType w:val="multilevel"/>
    <w:tmpl w:val="BF6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D2407"/>
    <w:multiLevelType w:val="multilevel"/>
    <w:tmpl w:val="C8E0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13718"/>
    <w:multiLevelType w:val="multilevel"/>
    <w:tmpl w:val="A114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56276">
    <w:abstractNumId w:val="2"/>
  </w:num>
  <w:num w:numId="2" w16cid:durableId="372115629">
    <w:abstractNumId w:val="0"/>
  </w:num>
  <w:num w:numId="3" w16cid:durableId="8515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2A"/>
    <w:rsid w:val="00020BC8"/>
    <w:rsid w:val="00021AA5"/>
    <w:rsid w:val="000A6D2A"/>
    <w:rsid w:val="001D2C06"/>
    <w:rsid w:val="00210E19"/>
    <w:rsid w:val="00241D29"/>
    <w:rsid w:val="00242270"/>
    <w:rsid w:val="00257740"/>
    <w:rsid w:val="00276F28"/>
    <w:rsid w:val="00357408"/>
    <w:rsid w:val="004D271A"/>
    <w:rsid w:val="005E7532"/>
    <w:rsid w:val="00727FA6"/>
    <w:rsid w:val="007506DF"/>
    <w:rsid w:val="0076192C"/>
    <w:rsid w:val="007B6254"/>
    <w:rsid w:val="007E5CC4"/>
    <w:rsid w:val="008766CB"/>
    <w:rsid w:val="009074AF"/>
    <w:rsid w:val="00934687"/>
    <w:rsid w:val="00AA5AA9"/>
    <w:rsid w:val="00B01652"/>
    <w:rsid w:val="00B559B7"/>
    <w:rsid w:val="00B800B1"/>
    <w:rsid w:val="00BB574C"/>
    <w:rsid w:val="00C65D72"/>
    <w:rsid w:val="00CB709D"/>
    <w:rsid w:val="00CF13D4"/>
    <w:rsid w:val="00E84805"/>
    <w:rsid w:val="00E95045"/>
    <w:rsid w:val="00EB05E0"/>
    <w:rsid w:val="00EB6443"/>
    <w:rsid w:val="00EF6263"/>
    <w:rsid w:val="00F10F80"/>
    <w:rsid w:val="00F4635E"/>
    <w:rsid w:val="00FB4ACF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2BFE"/>
  <w15:chartTrackingRefBased/>
  <w15:docId w15:val="{2A10DA2F-555D-4BED-BCEB-8BE14413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2A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A6D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secutor@masoncount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434</Words>
  <Characters>2585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Hand, Beth</dc:creator>
  <cp:keywords/>
  <dc:description/>
  <cp:lastModifiedBy>Hand, Beth</cp:lastModifiedBy>
  <cp:revision>16</cp:revision>
  <dcterms:created xsi:type="dcterms:W3CDTF">2024-06-21T20:57:00Z</dcterms:created>
  <dcterms:modified xsi:type="dcterms:W3CDTF">2025-12-30T14:41:00Z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2024-06-19T12:20:11Z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1af81284-30af-4f5d-b404-a829241b6dfa</vt:lpwstr>
  </property>
  <property fmtid="{D5CDD505-2E9C-101B-9397-08002B2CF9AE}" pid="7" name="MSIP_Label_defa4170-0d19-0005-0004-bc88714345d2_ActionId">
    <vt:lpwstr>dff383bb-5f2b-48ef-a79f-5b296ab55157</vt:lpwstr>
  </property>
  <property fmtid="{D5CDD505-2E9C-101B-9397-08002B2CF9AE}" pid="8" name="MSIP_Label_defa4170-0d19-0005-0004-bc88714345d2_ContentBits">
    <vt:lpwstr>0</vt:lpwstr>
  </property>
</Properties>
</file>